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C8" w:rsidRPr="00FC4323" w:rsidRDefault="008704DD" w:rsidP="008704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323">
        <w:rPr>
          <w:rFonts w:ascii="Times New Roman" w:eastAsia="Times New Roman" w:hAnsi="Times New Roman" w:cs="Times New Roman"/>
          <w:sz w:val="24"/>
          <w:szCs w:val="24"/>
        </w:rPr>
        <w:t>Legal Environment of Business</w:t>
      </w:r>
    </w:p>
    <w:p w:rsidR="008704DD" w:rsidRPr="00FC4323" w:rsidRDefault="008704DD" w:rsidP="008704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323">
        <w:rPr>
          <w:rFonts w:ascii="Times New Roman" w:eastAsia="Times New Roman" w:hAnsi="Times New Roman" w:cs="Times New Roman"/>
          <w:sz w:val="24"/>
          <w:szCs w:val="24"/>
        </w:rPr>
        <w:t>Final Exam Preview</w:t>
      </w:r>
    </w:p>
    <w:p w:rsidR="008704DD" w:rsidRPr="00FC4323" w:rsidRDefault="008704DD" w:rsidP="008704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4DD" w:rsidRPr="00FC4323" w:rsidRDefault="008704DD" w:rsidP="008704DD">
      <w:pPr>
        <w:rPr>
          <w:rFonts w:ascii="Times New Roman" w:eastAsia="Times New Roman" w:hAnsi="Times New Roman" w:cs="Times New Roman"/>
          <w:sz w:val="24"/>
          <w:szCs w:val="24"/>
        </w:rPr>
      </w:pPr>
      <w:r w:rsidRPr="00FC4323">
        <w:rPr>
          <w:rFonts w:ascii="Times New Roman" w:eastAsia="Times New Roman" w:hAnsi="Times New Roman" w:cs="Times New Roman"/>
          <w:sz w:val="24"/>
          <w:szCs w:val="24"/>
        </w:rPr>
        <w:t xml:space="preserve">I extend my best wishes to everyone for the </w:t>
      </w:r>
      <w:r w:rsidR="00FC4323" w:rsidRPr="00FC4323">
        <w:rPr>
          <w:rFonts w:ascii="Times New Roman" w:eastAsia="Times New Roman" w:hAnsi="Times New Roman" w:cs="Times New Roman"/>
          <w:sz w:val="24"/>
          <w:szCs w:val="24"/>
        </w:rPr>
        <w:t>final exam</w:t>
      </w:r>
      <w:r w:rsidRPr="00FC4323">
        <w:rPr>
          <w:rFonts w:ascii="Times New Roman" w:eastAsia="Times New Roman" w:hAnsi="Times New Roman" w:cs="Times New Roman"/>
          <w:sz w:val="24"/>
          <w:szCs w:val="24"/>
        </w:rPr>
        <w:t xml:space="preserve">.  I appreciate your work </w:t>
      </w:r>
      <w:r w:rsidR="00C159F1">
        <w:rPr>
          <w:rFonts w:ascii="Times New Roman" w:eastAsia="Times New Roman" w:hAnsi="Times New Roman" w:cs="Times New Roman"/>
          <w:sz w:val="24"/>
          <w:szCs w:val="24"/>
        </w:rPr>
        <w:t>on our projects to this point.</w:t>
      </w:r>
      <w:r w:rsidRPr="00FC4323">
        <w:rPr>
          <w:rFonts w:ascii="Times New Roman" w:eastAsia="Times New Roman" w:hAnsi="Times New Roman" w:cs="Times New Roman"/>
          <w:sz w:val="24"/>
          <w:szCs w:val="24"/>
        </w:rPr>
        <w:t xml:space="preserve">  There will be </w:t>
      </w:r>
      <w:r w:rsidR="00C159F1">
        <w:rPr>
          <w:rFonts w:ascii="Times New Roman" w:eastAsia="Times New Roman" w:hAnsi="Times New Roman" w:cs="Times New Roman"/>
          <w:sz w:val="24"/>
          <w:szCs w:val="24"/>
        </w:rPr>
        <w:t xml:space="preserve">around </w:t>
      </w:r>
      <w:r w:rsidRPr="00FC4323">
        <w:rPr>
          <w:rFonts w:ascii="Times New Roman" w:eastAsia="Times New Roman" w:hAnsi="Times New Roman" w:cs="Times New Roman"/>
          <w:sz w:val="24"/>
          <w:szCs w:val="24"/>
        </w:rPr>
        <w:t>27 test questions from the new materials (Chapters 11 and 12) and 26 comprehensive review questions.  The comprehensive questions are a repetition of test questions from the first three exams.</w:t>
      </w:r>
      <w:r w:rsidR="00F61E84" w:rsidRPr="00FC4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23">
        <w:rPr>
          <w:rFonts w:ascii="Times New Roman" w:eastAsia="Times New Roman" w:hAnsi="Times New Roman" w:cs="Times New Roman"/>
          <w:sz w:val="24"/>
          <w:szCs w:val="24"/>
        </w:rPr>
        <w:t xml:space="preserve"> The following tables present the topics that will prepare you for the final exam.</w:t>
      </w:r>
      <w:r w:rsidR="00BC4541">
        <w:rPr>
          <w:rFonts w:ascii="Times New Roman" w:eastAsia="Times New Roman" w:hAnsi="Times New Roman" w:cs="Times New Roman"/>
          <w:sz w:val="24"/>
          <w:szCs w:val="24"/>
        </w:rPr>
        <w:t xml:space="preserve">  The following tables are subject to minor changes.  If I make any major changes, I will email the class these changes. </w:t>
      </w:r>
    </w:p>
    <w:p w:rsidR="00957249" w:rsidRPr="00FC4323" w:rsidRDefault="00957249" w:rsidP="008704DD">
      <w:pPr>
        <w:rPr>
          <w:b/>
          <w:sz w:val="24"/>
          <w:szCs w:val="24"/>
        </w:rPr>
      </w:pPr>
      <w:r w:rsidRPr="00FC4323">
        <w:rPr>
          <w:b/>
          <w:sz w:val="24"/>
          <w:szCs w:val="24"/>
        </w:rPr>
        <w:t>Chapter 11</w:t>
      </w:r>
      <w:r w:rsidR="00FC4323" w:rsidRPr="00FC4323">
        <w:rPr>
          <w:b/>
          <w:sz w:val="24"/>
          <w:szCs w:val="24"/>
        </w:rPr>
        <w:t xml:space="preserve"> (</w:t>
      </w:r>
      <w:r w:rsidR="008704DD" w:rsidRPr="00FC4323">
        <w:rPr>
          <w:b/>
          <w:sz w:val="24"/>
          <w:szCs w:val="24"/>
        </w:rPr>
        <w:t>14 multiple-choice questions</w:t>
      </w:r>
      <w:r w:rsidR="00FC4323" w:rsidRPr="00FC4323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7249" w:rsidRPr="00FC4323" w:rsidTr="00957249"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Business organization limited liability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Advantages and disadvantages of sole proprietorships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Sole proprietorship funding 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General partnerships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Limited partnerships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incorporation process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Business organizations in general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Formation of limited partnerships and corporations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Types of corporations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business judgment rule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Piercing the corporate veil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Corporation bylaws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S corporations</w:t>
            </w: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57249" w:rsidRPr="00FC4323" w:rsidRDefault="00957249" w:rsidP="0035589B">
            <w:pPr>
              <w:rPr>
                <w:sz w:val="24"/>
                <w:szCs w:val="24"/>
              </w:rPr>
            </w:pPr>
          </w:p>
        </w:tc>
      </w:tr>
    </w:tbl>
    <w:p w:rsidR="00957249" w:rsidRPr="00FC4323" w:rsidRDefault="00957249" w:rsidP="00957249">
      <w:pPr>
        <w:rPr>
          <w:sz w:val="24"/>
          <w:szCs w:val="24"/>
        </w:rPr>
      </w:pPr>
    </w:p>
    <w:p w:rsidR="00957249" w:rsidRPr="00FC4323" w:rsidRDefault="008704DD" w:rsidP="00957249">
      <w:pPr>
        <w:rPr>
          <w:b/>
          <w:sz w:val="24"/>
          <w:szCs w:val="24"/>
        </w:rPr>
      </w:pPr>
      <w:r w:rsidRPr="00FC4323">
        <w:rPr>
          <w:b/>
          <w:sz w:val="24"/>
          <w:szCs w:val="24"/>
        </w:rPr>
        <w:t xml:space="preserve">Chapter 12 </w:t>
      </w:r>
      <w:r w:rsidR="00FC4323" w:rsidRPr="00FC4323">
        <w:rPr>
          <w:b/>
          <w:sz w:val="24"/>
          <w:szCs w:val="24"/>
        </w:rPr>
        <w:t>(</w:t>
      </w:r>
      <w:r w:rsidRPr="00FC4323">
        <w:rPr>
          <w:b/>
          <w:sz w:val="24"/>
          <w:szCs w:val="24"/>
        </w:rPr>
        <w:t xml:space="preserve">13 multiple-choice </w:t>
      </w:r>
      <w:r w:rsidR="00957249" w:rsidRPr="00FC4323">
        <w:rPr>
          <w:b/>
          <w:sz w:val="24"/>
          <w:szCs w:val="24"/>
        </w:rPr>
        <w:t>questions</w:t>
      </w:r>
      <w:r w:rsidR="00FC4323" w:rsidRPr="00FC4323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7249" w:rsidRPr="00FC4323" w:rsidTr="00957249"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Civil Rights Act of 1964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Title VII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BFOQ defense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“Right to sue” letters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The Equal Employment Opportunity Commission 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Disparate treatment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Disparate impact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Affirmative action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Workplace “English-only” rules </w:t>
            </w:r>
          </w:p>
        </w:tc>
      </w:tr>
      <w:tr w:rsidR="00957249" w:rsidRPr="00FC4323" w:rsidTr="00957249">
        <w:tc>
          <w:tcPr>
            <w:tcW w:w="3192" w:type="dxa"/>
          </w:tcPr>
          <w:p w:rsidR="00957249" w:rsidRPr="00FC4323" w:rsidRDefault="00957249" w:rsidP="00FC4323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1866 Civil Rights Act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The Age Discrimination in Employment Act </w:t>
            </w:r>
          </w:p>
        </w:tc>
        <w:tc>
          <w:tcPr>
            <w:tcW w:w="3192" w:type="dxa"/>
          </w:tcPr>
          <w:p w:rsidR="00957249" w:rsidRPr="00FC4323" w:rsidRDefault="00957249" w:rsidP="00EB4331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Religious discrimination </w:t>
            </w:r>
          </w:p>
        </w:tc>
      </w:tr>
    </w:tbl>
    <w:p w:rsidR="00F61E84" w:rsidRPr="00FC4323" w:rsidRDefault="00F61E84" w:rsidP="00957249">
      <w:pPr>
        <w:rPr>
          <w:sz w:val="24"/>
          <w:szCs w:val="24"/>
        </w:rPr>
      </w:pPr>
    </w:p>
    <w:p w:rsidR="00957249" w:rsidRPr="00FC4323" w:rsidRDefault="00957249" w:rsidP="00957249">
      <w:pPr>
        <w:rPr>
          <w:b/>
          <w:sz w:val="24"/>
          <w:szCs w:val="24"/>
        </w:rPr>
      </w:pPr>
      <w:r w:rsidRPr="00FC4323">
        <w:rPr>
          <w:b/>
          <w:sz w:val="24"/>
          <w:szCs w:val="24"/>
        </w:rPr>
        <w:t xml:space="preserve">Comprehensive test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Natural law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Private law v. public law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The doctrine of </w:t>
            </w:r>
            <w:r w:rsidRPr="00FC4323">
              <w:rPr>
                <w:i/>
                <w:sz w:val="24"/>
                <w:szCs w:val="24"/>
              </w:rPr>
              <w:t xml:space="preserve">stare </w:t>
            </w:r>
            <w:proofErr w:type="spellStart"/>
            <w:r w:rsidRPr="00FC4323">
              <w:rPr>
                <w:i/>
                <w:sz w:val="24"/>
                <w:szCs w:val="24"/>
              </w:rPr>
              <w:t>decisis</w:t>
            </w:r>
            <w:proofErr w:type="spellEnd"/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Common law rules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Judicial review</w:t>
            </w:r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Federal diversity jurisdiction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Granting certiorari 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Jury </w:t>
            </w:r>
            <w:proofErr w:type="spellStart"/>
            <w:r w:rsidRPr="00FC4323">
              <w:rPr>
                <w:i/>
                <w:sz w:val="24"/>
                <w:szCs w:val="24"/>
              </w:rPr>
              <w:t>voir</w:t>
            </w:r>
            <w:proofErr w:type="spellEnd"/>
            <w:r w:rsidRPr="00FC4323">
              <w:rPr>
                <w:i/>
                <w:sz w:val="24"/>
                <w:szCs w:val="24"/>
              </w:rPr>
              <w:t xml:space="preserve"> dire</w:t>
            </w:r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Default judgments 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Burdens of proof 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Mandatory arbitration clauses</w:t>
            </w:r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ADR and negotiation 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ADR and arbitration</w:t>
            </w:r>
          </w:p>
        </w:tc>
        <w:tc>
          <w:tcPr>
            <w:tcW w:w="3192" w:type="dxa"/>
          </w:tcPr>
          <w:p w:rsidR="00EF6E97" w:rsidRPr="00FC4323" w:rsidRDefault="00C159F1" w:rsidP="0066459A">
            <w:pPr>
              <w:rPr>
                <w:sz w:val="24"/>
                <w:szCs w:val="24"/>
              </w:rPr>
            </w:pPr>
            <w:hyperlink r:id="rId6" w:history="1">
              <w:proofErr w:type="spellStart"/>
              <w:r w:rsidR="00EF6E97" w:rsidRPr="00FC4323">
                <w:rPr>
                  <w:rStyle w:val="Hyperlink"/>
                  <w:sz w:val="24"/>
                  <w:szCs w:val="24"/>
                </w:rPr>
                <w:t>Chenal</w:t>
              </w:r>
              <w:proofErr w:type="spellEnd"/>
              <w:r w:rsidR="00EF6E97" w:rsidRPr="00FC4323">
                <w:rPr>
                  <w:rStyle w:val="Hyperlink"/>
                  <w:sz w:val="24"/>
                  <w:szCs w:val="24"/>
                </w:rPr>
                <w:t xml:space="preserve"> Restoration </w:t>
              </w:r>
              <w:proofErr w:type="spellStart"/>
              <w:r w:rsidR="00EF6E97" w:rsidRPr="00FC4323">
                <w:rPr>
                  <w:rStyle w:val="Hyperlink"/>
                  <w:sz w:val="24"/>
                  <w:szCs w:val="24"/>
                </w:rPr>
                <w:t>v.Trade</w:t>
              </w:r>
              <w:proofErr w:type="spellEnd"/>
              <w:r w:rsidR="00EF6E97" w:rsidRPr="00FC4323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EF6E97" w:rsidRPr="00FC4323">
                <w:rPr>
                  <w:rStyle w:val="Hyperlink"/>
                  <w:sz w:val="24"/>
                  <w:szCs w:val="24"/>
                </w:rPr>
                <w:t>Wynds</w:t>
              </w:r>
              <w:proofErr w:type="spellEnd"/>
              <w:r w:rsidR="00EF6E97" w:rsidRPr="00FC4323">
                <w:rPr>
                  <w:rStyle w:val="Hyperlink"/>
                  <w:sz w:val="24"/>
                  <w:szCs w:val="24"/>
                </w:rPr>
                <w:t xml:space="preserve"> Imports</w:t>
              </w:r>
            </w:hyperlink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State police power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Patient Protection and Affordable Care Act and the Commerce Clause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The First Amendment and political speech.</w:t>
            </w:r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FC4323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lastRenderedPageBreak/>
              <w:t>Contract</w:t>
            </w:r>
            <w:r w:rsidR="00EF6E97" w:rsidRPr="00FC4323">
              <w:rPr>
                <w:sz w:val="24"/>
                <w:szCs w:val="24"/>
              </w:rPr>
              <w:t xml:space="preserve"> </w:t>
            </w:r>
            <w:r w:rsidRPr="00FC4323">
              <w:rPr>
                <w:sz w:val="24"/>
                <w:szCs w:val="24"/>
              </w:rPr>
              <w:t>“</w:t>
            </w:r>
            <w:r w:rsidR="00EF6E97" w:rsidRPr="00FC4323">
              <w:rPr>
                <w:sz w:val="24"/>
                <w:szCs w:val="24"/>
              </w:rPr>
              <w:t>intent</w:t>
            </w:r>
            <w:r w:rsidRPr="00FC4323">
              <w:rPr>
                <w:sz w:val="24"/>
                <w:szCs w:val="24"/>
              </w:rPr>
              <w:t>”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Contracts and advertising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Strict liability </w:t>
            </w:r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Strict product liability</w:t>
            </w:r>
          </w:p>
        </w:tc>
        <w:tc>
          <w:tcPr>
            <w:tcW w:w="3192" w:type="dxa"/>
          </w:tcPr>
          <w:p w:rsidR="00EF6E97" w:rsidRPr="00FC4323" w:rsidRDefault="00C159F1" w:rsidP="00664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bookmarkStart w:id="0" w:name="_GoBack"/>
            <w:bookmarkEnd w:id="0"/>
            <w:r w:rsidR="00EF6E97" w:rsidRPr="00FC4323">
              <w:rPr>
                <w:sz w:val="24"/>
                <w:szCs w:val="24"/>
              </w:rPr>
              <w:t>he First Amendment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Bailments and duty of care</w:t>
            </w:r>
          </w:p>
        </w:tc>
      </w:tr>
      <w:tr w:rsidR="00EF6E97" w:rsidRPr="00FC4323" w:rsidTr="00EF6E97"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>Defamation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  <w:r w:rsidRPr="00FC4323">
              <w:rPr>
                <w:sz w:val="24"/>
                <w:szCs w:val="24"/>
              </w:rPr>
              <w:t xml:space="preserve">Trade secrets </w:t>
            </w:r>
          </w:p>
        </w:tc>
        <w:tc>
          <w:tcPr>
            <w:tcW w:w="3192" w:type="dxa"/>
          </w:tcPr>
          <w:p w:rsidR="00EF6E97" w:rsidRPr="00FC4323" w:rsidRDefault="00EF6E97" w:rsidP="0066459A">
            <w:pPr>
              <w:rPr>
                <w:sz w:val="24"/>
                <w:szCs w:val="24"/>
              </w:rPr>
            </w:pPr>
          </w:p>
        </w:tc>
      </w:tr>
    </w:tbl>
    <w:p w:rsidR="00990CF0" w:rsidRPr="00FC4323" w:rsidRDefault="00990CF0" w:rsidP="00EF6E97">
      <w:pPr>
        <w:rPr>
          <w:sz w:val="24"/>
          <w:szCs w:val="24"/>
        </w:rPr>
      </w:pPr>
    </w:p>
    <w:sectPr w:rsidR="00990CF0" w:rsidRPr="00FC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0E32"/>
    <w:multiLevelType w:val="hybridMultilevel"/>
    <w:tmpl w:val="A720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49"/>
    <w:rsid w:val="003456C8"/>
    <w:rsid w:val="008704DD"/>
    <w:rsid w:val="00957249"/>
    <w:rsid w:val="00990CF0"/>
    <w:rsid w:val="00BC4541"/>
    <w:rsid w:val="00C159F1"/>
    <w:rsid w:val="00C342EE"/>
    <w:rsid w:val="00EF6E97"/>
    <w:rsid w:val="00F61E8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72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72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web.astate.edu/pittman/legal-environment-of-business/Chenal%20v%20Trade%20Wynds%20Import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ASUCOB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</dc:creator>
  <cp:keywords/>
  <dc:description/>
  <cp:lastModifiedBy>Jeff Pittman</cp:lastModifiedBy>
  <cp:revision>6</cp:revision>
  <dcterms:created xsi:type="dcterms:W3CDTF">2011-11-15T14:37:00Z</dcterms:created>
  <dcterms:modified xsi:type="dcterms:W3CDTF">2012-11-29T22:03:00Z</dcterms:modified>
</cp:coreProperties>
</file>