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91" w:rsidRPr="00A63DFF" w:rsidRDefault="00223CF8">
      <w:pPr>
        <w:widowControl/>
        <w:ind w:left="1200" w:right="1200"/>
        <w:jc w:val="center"/>
        <w:rPr>
          <w:rFonts w:ascii="Times New Roman" w:hAnsi="Times New Roman" w:cs="Times New Roman"/>
          <w:bCs/>
          <w:sz w:val="24"/>
        </w:rPr>
      </w:pPr>
      <w:r w:rsidRPr="00A63DFF">
        <w:rPr>
          <w:rFonts w:ascii="Times New Roman" w:hAnsi="Times New Roman" w:cs="Times New Roman"/>
          <w:bCs/>
          <w:sz w:val="24"/>
        </w:rPr>
        <w:t xml:space="preserve">GENERAL DYNAMICS CORPORATION, PETITIONER, v. UNITED STATES, THE BOEING COMPANY, SUCCESSOR TO </w:t>
      </w:r>
      <w:proofErr w:type="spellStart"/>
      <w:r w:rsidRPr="00A63DFF">
        <w:rPr>
          <w:rFonts w:ascii="Times New Roman" w:hAnsi="Times New Roman" w:cs="Times New Roman"/>
          <w:bCs/>
          <w:sz w:val="24"/>
        </w:rPr>
        <w:t>McDONNELL</w:t>
      </w:r>
      <w:proofErr w:type="spellEnd"/>
      <w:r w:rsidRPr="00A63DFF">
        <w:rPr>
          <w:rFonts w:ascii="Times New Roman" w:hAnsi="Times New Roman" w:cs="Times New Roman"/>
          <w:bCs/>
          <w:sz w:val="24"/>
        </w:rPr>
        <w:t xml:space="preserve"> DOUGLAS CORPORATION, PETITIONER v. UNITED STATES</w:t>
      </w:r>
    </w:p>
    <w:p w:rsidR="00375491" w:rsidRPr="00A63DFF" w:rsidRDefault="00375491">
      <w:pPr>
        <w:widowControl/>
        <w:rPr>
          <w:rFonts w:ascii="Times New Roman" w:hAnsi="Times New Roman" w:cs="Times New Roman"/>
          <w:bCs/>
          <w:sz w:val="24"/>
        </w:rPr>
      </w:pPr>
    </w:p>
    <w:p w:rsidR="00375491" w:rsidRPr="00A63DFF" w:rsidRDefault="00223CF8">
      <w:pPr>
        <w:widowControl/>
        <w:ind w:left="1200" w:right="1200"/>
        <w:jc w:val="center"/>
        <w:rPr>
          <w:rFonts w:ascii="Times New Roman" w:hAnsi="Times New Roman" w:cs="Times New Roman"/>
          <w:bCs/>
          <w:sz w:val="24"/>
        </w:rPr>
      </w:pPr>
      <w:r w:rsidRPr="00A63DFF">
        <w:rPr>
          <w:rFonts w:ascii="Times New Roman" w:hAnsi="Times New Roman" w:cs="Times New Roman"/>
          <w:bCs/>
          <w:sz w:val="24"/>
        </w:rPr>
        <w:t>SUPREME COURT OF THE UNITED STATES</w:t>
      </w:r>
    </w:p>
    <w:p w:rsidR="00375491" w:rsidRPr="00A63DFF" w:rsidRDefault="00375491">
      <w:pPr>
        <w:widowControl/>
        <w:rPr>
          <w:rFonts w:ascii="Times New Roman" w:hAnsi="Times New Roman" w:cs="Times New Roman"/>
          <w:bCs/>
          <w:sz w:val="24"/>
        </w:rPr>
      </w:pPr>
    </w:p>
    <w:p w:rsidR="00375491" w:rsidRPr="00A63DFF" w:rsidRDefault="00223CF8">
      <w:pPr>
        <w:widowControl/>
        <w:ind w:left="1200" w:right="1200"/>
        <w:jc w:val="center"/>
        <w:rPr>
          <w:rFonts w:ascii="Times New Roman" w:hAnsi="Times New Roman" w:cs="Times New Roman"/>
          <w:bCs/>
          <w:sz w:val="24"/>
        </w:rPr>
      </w:pPr>
      <w:proofErr w:type="gramStart"/>
      <w:r w:rsidRPr="00A63DFF">
        <w:rPr>
          <w:rFonts w:ascii="Times New Roman" w:hAnsi="Times New Roman" w:cs="Times New Roman"/>
          <w:bCs/>
          <w:sz w:val="24"/>
        </w:rPr>
        <w:t>131</w:t>
      </w:r>
      <w:proofErr w:type="gramEnd"/>
      <w:r w:rsidRPr="00A63DFF">
        <w:rPr>
          <w:rFonts w:ascii="Times New Roman" w:hAnsi="Times New Roman" w:cs="Times New Roman"/>
          <w:bCs/>
          <w:sz w:val="24"/>
        </w:rPr>
        <w:t xml:space="preserve"> S. Ct. 1900; 179 L. Ed. 2d 957; 2011 U.S. LEXIS 3830; 22 Fla. L. Weekly Fed. S 1016</w:t>
      </w:r>
    </w:p>
    <w:p w:rsidR="00375491" w:rsidRPr="00A63DFF" w:rsidRDefault="00375491">
      <w:pPr>
        <w:widowControl/>
        <w:rPr>
          <w:rFonts w:ascii="Times New Roman" w:hAnsi="Times New Roman" w:cs="Times New Roman"/>
          <w:bCs/>
          <w:sz w:val="24"/>
        </w:rPr>
      </w:pPr>
    </w:p>
    <w:p w:rsidR="00375491" w:rsidRPr="00A63DFF" w:rsidRDefault="00223CF8">
      <w:pPr>
        <w:widowControl/>
        <w:ind w:left="1200" w:right="1200"/>
        <w:jc w:val="center"/>
        <w:rPr>
          <w:rFonts w:ascii="Times New Roman" w:hAnsi="Times New Roman" w:cs="Times New Roman"/>
          <w:bCs/>
          <w:sz w:val="24"/>
        </w:rPr>
      </w:pPr>
      <w:r w:rsidRPr="00A63DFF">
        <w:rPr>
          <w:rFonts w:ascii="Times New Roman" w:hAnsi="Times New Roman" w:cs="Times New Roman"/>
          <w:bCs/>
          <w:sz w:val="24"/>
        </w:rPr>
        <w:t xml:space="preserve">January 18, 2011, Argued </w:t>
      </w:r>
    </w:p>
    <w:p w:rsidR="00375491" w:rsidRPr="00A63DFF" w:rsidRDefault="00223CF8">
      <w:pPr>
        <w:widowControl/>
        <w:ind w:left="1200" w:right="1200"/>
        <w:jc w:val="center"/>
        <w:rPr>
          <w:rFonts w:ascii="Times New Roman" w:hAnsi="Times New Roman" w:cs="Times New Roman"/>
          <w:bCs/>
          <w:sz w:val="24"/>
        </w:rPr>
      </w:pPr>
      <w:r w:rsidRPr="00A63DFF">
        <w:rPr>
          <w:rFonts w:ascii="Times New Roman" w:hAnsi="Times New Roman" w:cs="Times New Roman"/>
          <w:bCs/>
          <w:sz w:val="24"/>
        </w:rPr>
        <w:t>May 23, 2011, Decided * * Together with No. 09-1302, Boeing Co., Su</w:t>
      </w:r>
      <w:r w:rsidRPr="00A63DFF">
        <w:rPr>
          <w:rFonts w:ascii="Times New Roman" w:hAnsi="Times New Roman" w:cs="Times New Roman"/>
          <w:bCs/>
          <w:sz w:val="24"/>
        </w:rPr>
        <w:t>c</w:t>
      </w:r>
      <w:r w:rsidRPr="00A63DFF">
        <w:rPr>
          <w:rFonts w:ascii="Times New Roman" w:hAnsi="Times New Roman" w:cs="Times New Roman"/>
          <w:bCs/>
          <w:sz w:val="24"/>
        </w:rPr>
        <w:t>cessor to McDonnell Douglas Corp. v. United States, also on certiorari to the same court.</w:t>
      </w:r>
    </w:p>
    <w:p w:rsidR="00375491" w:rsidRPr="00A63DFF" w:rsidRDefault="00375491">
      <w:pPr>
        <w:widowControl/>
        <w:rPr>
          <w:rFonts w:ascii="Times New Roman" w:hAnsi="Times New Roman" w:cs="Times New Roman"/>
          <w:sz w:val="24"/>
        </w:rPr>
      </w:pPr>
    </w:p>
    <w:p w:rsidR="00375491" w:rsidRPr="00A63DFF" w:rsidRDefault="00223CF8">
      <w:pPr>
        <w:widowControl/>
        <w:rPr>
          <w:rFonts w:ascii="Times New Roman" w:hAnsi="Times New Roman" w:cs="Times New Roman"/>
          <w:sz w:val="24"/>
        </w:rPr>
      </w:pPr>
      <w:r w:rsidRPr="00A63DFF">
        <w:rPr>
          <w:rFonts w:ascii="Times New Roman" w:hAnsi="Times New Roman" w:cs="Times New Roman"/>
          <w:bCs/>
          <w:sz w:val="24"/>
          <w:highlight w:val="lightGray"/>
        </w:rPr>
        <w:t xml:space="preserve">PROCEDURAL POSTURE: </w:t>
      </w:r>
      <w:r w:rsidRPr="00A63DFF">
        <w:rPr>
          <w:rFonts w:ascii="Times New Roman" w:hAnsi="Times New Roman" w:cs="Times New Roman"/>
          <w:sz w:val="24"/>
          <w:highlight w:val="lightGray"/>
        </w:rPr>
        <w:t xml:space="preserve">Petitioner contractors sued appellee, the United States of America, challenging the government's termination of a contract to build stealth aircraft. The U.S. Court of Federal Claims (CFC) awarded the contractors recovery. The U.S. Court of Appeals for the Federal Circuit reversed. On a second remand, the CFC again found in favor of the contractors. The appellate court affirmed, and certiorari </w:t>
      </w:r>
      <w:proofErr w:type="gramStart"/>
      <w:r w:rsidRPr="00A63DFF">
        <w:rPr>
          <w:rFonts w:ascii="Times New Roman" w:hAnsi="Times New Roman" w:cs="Times New Roman"/>
          <w:sz w:val="24"/>
          <w:highlight w:val="lightGray"/>
        </w:rPr>
        <w:t>was granted</w:t>
      </w:r>
      <w:proofErr w:type="gramEnd"/>
      <w:r w:rsidRPr="00A63DFF">
        <w:rPr>
          <w:rFonts w:ascii="Times New Roman" w:hAnsi="Times New Roman" w:cs="Times New Roman"/>
          <w:sz w:val="24"/>
          <w:highlight w:val="lightGray"/>
        </w:rPr>
        <w:t xml:space="preserve"> to review the </w:t>
      </w:r>
      <w:r w:rsidRPr="00A63DFF">
        <w:rPr>
          <w:rFonts w:ascii="Times New Roman" w:hAnsi="Times New Roman" w:cs="Times New Roman"/>
          <w:bCs/>
          <w:sz w:val="24"/>
          <w:highlight w:val="lightGray"/>
        </w:rPr>
        <w:t>state-secrets</w:t>
      </w:r>
      <w:r w:rsidRPr="00A63DFF">
        <w:rPr>
          <w:rFonts w:ascii="Times New Roman" w:hAnsi="Times New Roman" w:cs="Times New Roman"/>
          <w:sz w:val="24"/>
          <w:highlight w:val="lightGray"/>
        </w:rPr>
        <w:t xml:space="preserve"> holding.</w:t>
      </w:r>
    </w:p>
    <w:p w:rsidR="00375491" w:rsidRPr="00A63DFF" w:rsidRDefault="00375491">
      <w:pPr>
        <w:widowControl/>
        <w:rPr>
          <w:rFonts w:ascii="Times New Roman" w:hAnsi="Times New Roman" w:cs="Times New Roman"/>
          <w:sz w:val="24"/>
        </w:rPr>
      </w:pPr>
    </w:p>
    <w:p w:rsidR="00375491" w:rsidRPr="00A63DFF" w:rsidRDefault="00223CF8">
      <w:pPr>
        <w:widowControl/>
        <w:spacing w:before="120"/>
        <w:rPr>
          <w:rFonts w:ascii="Times New Roman" w:hAnsi="Times New Roman" w:cs="Times New Roman"/>
          <w:sz w:val="24"/>
        </w:rPr>
      </w:pPr>
      <w:r w:rsidRPr="00A63DFF">
        <w:rPr>
          <w:rFonts w:ascii="Times New Roman" w:hAnsi="Times New Roman" w:cs="Times New Roman"/>
          <w:sz w:val="24"/>
        </w:rPr>
        <w:t>JUSTICE SCALIA delivered the opinion of the Court.</w:t>
      </w:r>
    </w:p>
    <w:p w:rsidR="00375491" w:rsidRPr="00A63DFF" w:rsidRDefault="00223CF8">
      <w:pPr>
        <w:widowControl/>
        <w:spacing w:before="120"/>
        <w:rPr>
          <w:rFonts w:ascii="Times New Roman" w:hAnsi="Times New Roman" w:cs="Times New Roman"/>
          <w:sz w:val="24"/>
        </w:rPr>
      </w:pPr>
      <w:r w:rsidRPr="00A63DFF">
        <w:rPr>
          <w:rFonts w:ascii="Times New Roman" w:hAnsi="Times New Roman" w:cs="Times New Roman"/>
          <w:sz w:val="24"/>
        </w:rPr>
        <w:t xml:space="preserve">We consider what remedy is proper when, to protect </w:t>
      </w:r>
      <w:r w:rsidRPr="00A63DFF">
        <w:rPr>
          <w:rFonts w:ascii="Times New Roman" w:hAnsi="Times New Roman" w:cs="Times New Roman"/>
          <w:bCs/>
          <w:sz w:val="24"/>
        </w:rPr>
        <w:t>state secrets</w:t>
      </w:r>
      <w:r w:rsidRPr="00A63DFF">
        <w:rPr>
          <w:rFonts w:ascii="Times New Roman" w:hAnsi="Times New Roman" w:cs="Times New Roman"/>
          <w:sz w:val="24"/>
        </w:rPr>
        <w:t>, a court dismisses a Government contractor's prima facie valid affirmative defense to the Government's allegations of contractual breach.</w:t>
      </w:r>
    </w:p>
    <w:p w:rsidR="00375491" w:rsidRPr="00A63DFF" w:rsidRDefault="00223CF8">
      <w:pPr>
        <w:widowControl/>
        <w:spacing w:before="120"/>
        <w:rPr>
          <w:rFonts w:ascii="Times New Roman" w:hAnsi="Times New Roman" w:cs="Times New Roman"/>
          <w:sz w:val="24"/>
        </w:rPr>
      </w:pPr>
      <w:r w:rsidRPr="00A63DFF">
        <w:rPr>
          <w:rFonts w:ascii="Times New Roman" w:hAnsi="Times New Roman" w:cs="Times New Roman"/>
          <w:sz w:val="24"/>
        </w:rPr>
        <w:t>I</w:t>
      </w:r>
    </w:p>
    <w:p w:rsidR="00375491" w:rsidRPr="00A63DFF" w:rsidRDefault="00A63DFF">
      <w:pPr>
        <w:widowControl/>
        <w:spacing w:before="120"/>
        <w:rPr>
          <w:rFonts w:ascii="Times New Roman" w:hAnsi="Times New Roman" w:cs="Times New Roman"/>
          <w:sz w:val="24"/>
        </w:rPr>
      </w:pPr>
      <w:r w:rsidRPr="00A63DFF">
        <w:rPr>
          <w:rFonts w:ascii="Times New Roman" w:hAnsi="Times New Roman" w:cs="Times New Roman"/>
          <w:sz w:val="24"/>
        </w:rPr>
        <w:t xml:space="preserve">. . . </w:t>
      </w:r>
    </w:p>
    <w:p w:rsidR="00375491" w:rsidRPr="00A63DFF" w:rsidRDefault="00223CF8">
      <w:pPr>
        <w:widowControl/>
        <w:spacing w:before="120"/>
        <w:rPr>
          <w:rFonts w:ascii="Times New Roman" w:hAnsi="Times New Roman" w:cs="Times New Roman"/>
          <w:sz w:val="24"/>
        </w:rPr>
      </w:pPr>
      <w:r w:rsidRPr="00A63DFF">
        <w:rPr>
          <w:rFonts w:ascii="Times New Roman" w:hAnsi="Times New Roman" w:cs="Times New Roman"/>
          <w:sz w:val="24"/>
        </w:rPr>
        <w:t xml:space="preserve">In </w:t>
      </w:r>
      <w:r w:rsidRPr="00A63DFF">
        <w:rPr>
          <w:rFonts w:ascii="Times New Roman" w:hAnsi="Times New Roman" w:cs="Times New Roman"/>
          <w:i/>
          <w:iCs/>
          <w:sz w:val="24"/>
        </w:rPr>
        <w:t>Totten</w:t>
      </w:r>
      <w:r w:rsidRPr="00A63DFF">
        <w:rPr>
          <w:rFonts w:ascii="Times New Roman" w:hAnsi="Times New Roman" w:cs="Times New Roman"/>
          <w:sz w:val="24"/>
        </w:rPr>
        <w:t xml:space="preserve"> v. </w:t>
      </w:r>
      <w:r w:rsidRPr="00A63DFF">
        <w:rPr>
          <w:rFonts w:ascii="Times New Roman" w:hAnsi="Times New Roman" w:cs="Times New Roman"/>
          <w:i/>
          <w:iCs/>
          <w:sz w:val="24"/>
        </w:rPr>
        <w:t>United States</w:t>
      </w:r>
      <w:r w:rsidRPr="00A63DFF">
        <w:rPr>
          <w:rFonts w:ascii="Times New Roman" w:hAnsi="Times New Roman" w:cs="Times New Roman"/>
          <w:sz w:val="24"/>
        </w:rPr>
        <w:t>, 92 U.S. 105, 23 L. Ed. 605 (1876), the administrator of a self-styled Civil War spy's estate brought a breach-of-contract suit against the United States. He alleged that his te</w:t>
      </w:r>
      <w:r w:rsidRPr="00A63DFF">
        <w:rPr>
          <w:rFonts w:ascii="Times New Roman" w:hAnsi="Times New Roman" w:cs="Times New Roman"/>
          <w:sz w:val="24"/>
        </w:rPr>
        <w:t>s</w:t>
      </w:r>
      <w:r w:rsidRPr="00A63DFF">
        <w:rPr>
          <w:rFonts w:ascii="Times New Roman" w:hAnsi="Times New Roman" w:cs="Times New Roman"/>
          <w:sz w:val="24"/>
        </w:rPr>
        <w:t>tator had entered into a contract with President Lincoln to spy on the Confederacy in exchange for $</w:t>
      </w:r>
      <w:bookmarkStart w:id="0" w:name="_GoBack"/>
      <w:bookmarkEnd w:id="0"/>
      <w:r w:rsidRPr="00A63DFF">
        <w:rPr>
          <w:rFonts w:ascii="Times New Roman" w:hAnsi="Times New Roman" w:cs="Times New Roman"/>
          <w:sz w:val="24"/>
        </w:rPr>
        <w:t xml:space="preserve">200 a month. After the war ended, the United States reimbursed expenses but did not pay the monthly salary. We recognized that the estate had a potentially valid breach-of-contract claim but dismissed the suit. The contract was for "a secret service," and litigating the details of that service would risk exposing secret operations and other clandestine operatives "to the serious detriment of the public."   </w:t>
      </w:r>
      <w:proofErr w:type="gramStart"/>
      <w:r w:rsidRPr="00A63DFF">
        <w:rPr>
          <w:rFonts w:ascii="Times New Roman" w:hAnsi="Times New Roman" w:cs="Times New Roman"/>
          <w:i/>
          <w:iCs/>
          <w:sz w:val="24"/>
        </w:rPr>
        <w:t>Id.,</w:t>
      </w:r>
      <w:r w:rsidRPr="00A63DFF">
        <w:rPr>
          <w:rFonts w:ascii="Times New Roman" w:hAnsi="Times New Roman" w:cs="Times New Roman"/>
          <w:sz w:val="24"/>
        </w:rPr>
        <w:t xml:space="preserve"> at 106-107, 23 L. Ed. 605.</w:t>
      </w:r>
      <w:proofErr w:type="gramEnd"/>
      <w:r w:rsidRPr="00A63DFF">
        <w:rPr>
          <w:rFonts w:ascii="Times New Roman" w:hAnsi="Times New Roman" w:cs="Times New Roman"/>
          <w:sz w:val="24"/>
        </w:rPr>
        <w:t xml:space="preserve">  "[P]</w:t>
      </w:r>
      <w:proofErr w:type="spellStart"/>
      <w:r w:rsidRPr="00A63DFF">
        <w:rPr>
          <w:rFonts w:ascii="Times New Roman" w:hAnsi="Times New Roman" w:cs="Times New Roman"/>
          <w:sz w:val="24"/>
        </w:rPr>
        <w:t>ublic</w:t>
      </w:r>
      <w:proofErr w:type="spellEnd"/>
      <w:r w:rsidRPr="00A63DFF">
        <w:rPr>
          <w:rFonts w:ascii="Times New Roman" w:hAnsi="Times New Roman" w:cs="Times New Roman"/>
          <w:sz w:val="24"/>
        </w:rPr>
        <w:t xml:space="preserve"> policy," we held, "forbids the maintenance of any suit . . . the trial of which would inevitably lead to the disclosure of matters which the law itself regards as confidential, and respecting which it will not allow the confidence to be violated." </w:t>
      </w:r>
      <w:r w:rsidRPr="00A63DFF">
        <w:rPr>
          <w:rFonts w:ascii="Times New Roman" w:hAnsi="Times New Roman" w:cs="Times New Roman"/>
          <w:i/>
          <w:iCs/>
          <w:sz w:val="24"/>
        </w:rPr>
        <w:t>Id.,</w:t>
      </w:r>
      <w:r w:rsidRPr="00A63DFF">
        <w:rPr>
          <w:rFonts w:ascii="Times New Roman" w:hAnsi="Times New Roman" w:cs="Times New Roman"/>
          <w:sz w:val="24"/>
        </w:rPr>
        <w:t xml:space="preserve"> at 107, 23 L. Ed. 605.</w:t>
      </w:r>
    </w:p>
    <w:p w:rsidR="00375491" w:rsidRPr="00A63DFF" w:rsidRDefault="00F86C29">
      <w:pPr>
        <w:widowControl/>
        <w:spacing w:before="120"/>
        <w:rPr>
          <w:rFonts w:ascii="Times New Roman" w:hAnsi="Times New Roman" w:cs="Times New Roman"/>
          <w:sz w:val="24"/>
        </w:rPr>
      </w:pPr>
      <w:r w:rsidRPr="00A63DFF">
        <w:rPr>
          <w:rFonts w:ascii="Times New Roman" w:hAnsi="Times New Roman" w:cs="Times New Roman"/>
          <w:sz w:val="24"/>
        </w:rPr>
        <w:t xml:space="preserve">. . . </w:t>
      </w:r>
    </w:p>
    <w:p w:rsidR="00375491" w:rsidRPr="00A63DFF" w:rsidRDefault="00223CF8">
      <w:pPr>
        <w:widowControl/>
        <w:spacing w:before="120"/>
        <w:rPr>
          <w:rFonts w:ascii="Times New Roman" w:hAnsi="Times New Roman" w:cs="Times New Roman"/>
          <w:sz w:val="24"/>
        </w:rPr>
      </w:pPr>
      <w:r w:rsidRPr="00A63DFF">
        <w:rPr>
          <w:rFonts w:ascii="Times New Roman" w:hAnsi="Times New Roman" w:cs="Times New Roman"/>
          <w:sz w:val="24"/>
        </w:rPr>
        <w:t>We think a similar situation obtains here, and that the sa</w:t>
      </w:r>
      <w:r w:rsidR="00F86C29" w:rsidRPr="00A63DFF">
        <w:rPr>
          <w:rFonts w:ascii="Times New Roman" w:hAnsi="Times New Roman" w:cs="Times New Roman"/>
          <w:sz w:val="24"/>
        </w:rPr>
        <w:t xml:space="preserve">me consequence should follow.  </w:t>
      </w:r>
      <w:r w:rsidRPr="00A63DFF">
        <w:rPr>
          <w:rFonts w:ascii="Times New Roman" w:hAnsi="Times New Roman" w:cs="Times New Roman"/>
          <w:sz w:val="24"/>
        </w:rPr>
        <w:t xml:space="preserve">Where liability depends upon the validity of a plausible superior-knowledge defense, and when full litigation of that defense "would inevitably lead to the disclosure of" </w:t>
      </w:r>
      <w:r w:rsidRPr="00A63DFF">
        <w:rPr>
          <w:rFonts w:ascii="Times New Roman" w:hAnsi="Times New Roman" w:cs="Times New Roman"/>
          <w:bCs/>
          <w:sz w:val="24"/>
        </w:rPr>
        <w:t>state secrets</w:t>
      </w:r>
      <w:r w:rsidRPr="00A63DFF">
        <w:rPr>
          <w:rFonts w:ascii="Times New Roman" w:hAnsi="Times New Roman" w:cs="Times New Roman"/>
          <w:sz w:val="24"/>
        </w:rPr>
        <w:t xml:space="preserve">, </w:t>
      </w:r>
      <w:r w:rsidRPr="00A63DFF">
        <w:rPr>
          <w:rFonts w:ascii="Times New Roman" w:hAnsi="Times New Roman" w:cs="Times New Roman"/>
          <w:i/>
          <w:iCs/>
          <w:sz w:val="24"/>
        </w:rPr>
        <w:t>Totten</w:t>
      </w:r>
      <w:r w:rsidR="00F86C29" w:rsidRPr="00A63DFF">
        <w:rPr>
          <w:rFonts w:ascii="Times New Roman" w:hAnsi="Times New Roman" w:cs="Times New Roman"/>
          <w:sz w:val="24"/>
        </w:rPr>
        <w:t xml:space="preserve">, </w:t>
      </w:r>
      <w:r w:rsidRPr="00A63DFF">
        <w:rPr>
          <w:rFonts w:ascii="Times New Roman" w:hAnsi="Times New Roman" w:cs="Times New Roman"/>
          <w:i/>
          <w:iCs/>
          <w:sz w:val="24"/>
        </w:rPr>
        <w:t>supra</w:t>
      </w:r>
      <w:r w:rsidRPr="00A63DFF">
        <w:rPr>
          <w:rFonts w:ascii="Times New Roman" w:hAnsi="Times New Roman" w:cs="Times New Roman"/>
          <w:sz w:val="24"/>
        </w:rPr>
        <w:t xml:space="preserve">, at 107, 23 L. Ed. 605, neither party can obtain judicial relief. As the CFC concluded, that is the situation here. Disclosure of </w:t>
      </w:r>
      <w:r w:rsidRPr="00A63DFF">
        <w:rPr>
          <w:rFonts w:ascii="Times New Roman" w:hAnsi="Times New Roman" w:cs="Times New Roman"/>
          <w:bCs/>
          <w:sz w:val="24"/>
        </w:rPr>
        <w:t>state secrets</w:t>
      </w:r>
      <w:r w:rsidRPr="00A63DFF">
        <w:rPr>
          <w:rFonts w:ascii="Times New Roman" w:hAnsi="Times New Roman" w:cs="Times New Roman"/>
          <w:sz w:val="24"/>
        </w:rPr>
        <w:t xml:space="preserve"> occurred t</w:t>
      </w:r>
      <w:r w:rsidR="00F86C29" w:rsidRPr="00A63DFF">
        <w:rPr>
          <w:rFonts w:ascii="Times New Roman" w:hAnsi="Times New Roman" w:cs="Times New Roman"/>
          <w:sz w:val="24"/>
        </w:rPr>
        <w:t xml:space="preserve">wice before the CFC terminated </w:t>
      </w:r>
      <w:r w:rsidRPr="00A63DFF">
        <w:rPr>
          <w:rFonts w:ascii="Times New Roman" w:hAnsi="Times New Roman" w:cs="Times New Roman"/>
          <w:sz w:val="24"/>
        </w:rPr>
        <w:t xml:space="preserve">discovery. See 37 Fed. Cl., at </w:t>
      </w:r>
      <w:r w:rsidRPr="00A63DFF">
        <w:rPr>
          <w:rFonts w:ascii="Times New Roman" w:hAnsi="Times New Roman" w:cs="Times New Roman"/>
          <w:sz w:val="24"/>
        </w:rPr>
        <w:lastRenderedPageBreak/>
        <w:t xml:space="preserve">277-278. Every document request or question to a witness would risk further disclosure, since both sides have an incentive to probe up to the boundaries of </w:t>
      </w:r>
      <w:r w:rsidRPr="00A63DFF">
        <w:rPr>
          <w:rFonts w:ascii="Times New Roman" w:hAnsi="Times New Roman" w:cs="Times New Roman"/>
          <w:bCs/>
          <w:sz w:val="24"/>
        </w:rPr>
        <w:t xml:space="preserve">state secrets. State secrets </w:t>
      </w:r>
      <w:proofErr w:type="gramStart"/>
      <w:r w:rsidRPr="00A63DFF">
        <w:rPr>
          <w:rFonts w:ascii="Times New Roman" w:hAnsi="Times New Roman" w:cs="Times New Roman"/>
          <w:bCs/>
          <w:sz w:val="24"/>
        </w:rPr>
        <w:t>can also be ind</w:t>
      </w:r>
      <w:r w:rsidRPr="00A63DFF">
        <w:rPr>
          <w:rFonts w:ascii="Times New Roman" w:hAnsi="Times New Roman" w:cs="Times New Roman"/>
          <w:bCs/>
          <w:sz w:val="24"/>
        </w:rPr>
        <w:t>i</w:t>
      </w:r>
      <w:r w:rsidRPr="00A63DFF">
        <w:rPr>
          <w:rFonts w:ascii="Times New Roman" w:hAnsi="Times New Roman" w:cs="Times New Roman"/>
          <w:bCs/>
          <w:sz w:val="24"/>
        </w:rPr>
        <w:t>rectly disclosed</w:t>
      </w:r>
      <w:proofErr w:type="gramEnd"/>
      <w:r w:rsidRPr="00A63DFF">
        <w:rPr>
          <w:rFonts w:ascii="Times New Roman" w:hAnsi="Times New Roman" w:cs="Times New Roman"/>
          <w:bCs/>
          <w:sz w:val="24"/>
        </w:rPr>
        <w:t xml:space="preserve">. Each assertion of the privilege can provide another clue about the Government's covert programs or capabilities. See </w:t>
      </w:r>
      <w:r w:rsidRPr="00A63DFF">
        <w:rPr>
          <w:rFonts w:ascii="Times New Roman" w:hAnsi="Times New Roman" w:cs="Times New Roman"/>
          <w:bCs/>
          <w:i/>
          <w:iCs/>
          <w:sz w:val="24"/>
        </w:rPr>
        <w:t>Fitzgerald</w:t>
      </w:r>
      <w:r w:rsidRPr="00A63DFF">
        <w:rPr>
          <w:rFonts w:ascii="Times New Roman" w:hAnsi="Times New Roman" w:cs="Times New Roman"/>
          <w:bCs/>
          <w:sz w:val="24"/>
        </w:rPr>
        <w:t xml:space="preserve"> v. </w:t>
      </w:r>
      <w:r w:rsidRPr="00A63DFF">
        <w:rPr>
          <w:rFonts w:ascii="Times New Roman" w:hAnsi="Times New Roman" w:cs="Times New Roman"/>
          <w:bCs/>
          <w:i/>
          <w:iCs/>
          <w:sz w:val="24"/>
        </w:rPr>
        <w:t>Penthouse International, Ltd.</w:t>
      </w:r>
      <w:r w:rsidRPr="00A63DFF">
        <w:rPr>
          <w:rFonts w:ascii="Times New Roman" w:hAnsi="Times New Roman" w:cs="Times New Roman"/>
          <w:bCs/>
          <w:sz w:val="24"/>
        </w:rPr>
        <w:t xml:space="preserve">, 776 F.2d 1236, 1243, and n. 10 (CA4 1985). </w:t>
      </w:r>
      <w:r w:rsidRPr="00A63DFF">
        <w:rPr>
          <w:rFonts w:ascii="Times New Roman" w:hAnsi="Times New Roman" w:cs="Times New Roman"/>
          <w:sz w:val="24"/>
        </w:rPr>
        <w:t>For instance, the fact that the Government had to continue asserting the privilege after granting petitioners access to B-2 and F-117A program information suggests it had other, possibly covert stealth programs in the 1980's and early 1990's.</w:t>
      </w:r>
    </w:p>
    <w:p w:rsidR="00375491" w:rsidRPr="00A63DFF" w:rsidRDefault="00F86C29">
      <w:pPr>
        <w:widowControl/>
        <w:spacing w:before="120"/>
        <w:rPr>
          <w:rFonts w:ascii="Times New Roman" w:hAnsi="Times New Roman" w:cs="Times New Roman"/>
          <w:sz w:val="24"/>
        </w:rPr>
      </w:pPr>
      <w:r w:rsidRPr="00A63DFF">
        <w:rPr>
          <w:rFonts w:ascii="Times New Roman" w:hAnsi="Times New Roman" w:cs="Times New Roman"/>
          <w:sz w:val="24"/>
        </w:rPr>
        <w:t xml:space="preserve">. . . </w:t>
      </w:r>
    </w:p>
    <w:p w:rsidR="00A63DFF" w:rsidRPr="00A63DFF" w:rsidRDefault="00223CF8" w:rsidP="00A63DFF">
      <w:pPr>
        <w:widowControl/>
        <w:spacing w:before="120"/>
        <w:rPr>
          <w:rFonts w:ascii="Times New Roman" w:hAnsi="Times New Roman" w:cs="Times New Roman"/>
          <w:sz w:val="24"/>
        </w:rPr>
      </w:pPr>
      <w:r w:rsidRPr="00A63DFF">
        <w:rPr>
          <w:rFonts w:ascii="Times New Roman" w:hAnsi="Times New Roman" w:cs="Times New Roman"/>
          <w:sz w:val="24"/>
        </w:rPr>
        <w:t xml:space="preserve">We leave the parties where they are. As in </w:t>
      </w:r>
      <w:r w:rsidRPr="00A63DFF">
        <w:rPr>
          <w:rFonts w:ascii="Times New Roman" w:hAnsi="Times New Roman" w:cs="Times New Roman"/>
          <w:i/>
          <w:iCs/>
          <w:sz w:val="24"/>
        </w:rPr>
        <w:t>Totten</w:t>
      </w:r>
      <w:r w:rsidRPr="00A63DFF">
        <w:rPr>
          <w:rFonts w:ascii="Times New Roman" w:hAnsi="Times New Roman" w:cs="Times New Roman"/>
          <w:sz w:val="24"/>
        </w:rPr>
        <w:t xml:space="preserve">, see 92 U.S., at 106, 23 L. Ed. 605, our refusal to enforce this contract captures what the </w:t>
      </w:r>
      <w:proofErr w:type="spellStart"/>
      <w:r w:rsidRPr="00A63DFF">
        <w:rPr>
          <w:rFonts w:ascii="Times New Roman" w:hAnsi="Times New Roman" w:cs="Times New Roman"/>
          <w:i/>
          <w:iCs/>
          <w:sz w:val="24"/>
        </w:rPr>
        <w:t>ex ante</w:t>
      </w:r>
      <w:proofErr w:type="spellEnd"/>
      <w:r w:rsidRPr="00A63DFF">
        <w:rPr>
          <w:rFonts w:ascii="Times New Roman" w:hAnsi="Times New Roman" w:cs="Times New Roman"/>
          <w:sz w:val="24"/>
        </w:rPr>
        <w:t xml:space="preserve"> expectations of the parties were or reasonably ought to have been. Both parties "must have understood,</w:t>
      </w:r>
      <w:proofErr w:type="gramStart"/>
      <w:r w:rsidRPr="00A63DFF">
        <w:rPr>
          <w:rFonts w:ascii="Times New Roman" w:hAnsi="Times New Roman" w:cs="Times New Roman"/>
          <w:sz w:val="24"/>
        </w:rPr>
        <w:t xml:space="preserve">" </w:t>
      </w:r>
      <w:r w:rsidRPr="00A63DFF">
        <w:rPr>
          <w:rFonts w:ascii="Times New Roman" w:hAnsi="Times New Roman" w:cs="Times New Roman"/>
          <w:i/>
          <w:iCs/>
          <w:sz w:val="24"/>
        </w:rPr>
        <w:t>ibid.</w:t>
      </w:r>
      <w:r w:rsidRPr="00A63DFF">
        <w:rPr>
          <w:rFonts w:ascii="Times New Roman" w:hAnsi="Times New Roman" w:cs="Times New Roman"/>
          <w:sz w:val="24"/>
        </w:rPr>
        <w:t>,</w:t>
      </w:r>
      <w:proofErr w:type="gramEnd"/>
      <w:r w:rsidRPr="00A63DFF">
        <w:rPr>
          <w:rFonts w:ascii="Times New Roman" w:hAnsi="Times New Roman" w:cs="Times New Roman"/>
          <w:sz w:val="24"/>
        </w:rPr>
        <w:t xml:space="preserve"> that </w:t>
      </w:r>
      <w:r w:rsidRPr="00A63DFF">
        <w:rPr>
          <w:rFonts w:ascii="Times New Roman" w:hAnsi="Times New Roman" w:cs="Times New Roman"/>
          <w:bCs/>
          <w:sz w:val="24"/>
        </w:rPr>
        <w:t>state secrets</w:t>
      </w:r>
      <w:r w:rsidRPr="00A63DFF">
        <w:rPr>
          <w:rFonts w:ascii="Times New Roman" w:hAnsi="Times New Roman" w:cs="Times New Roman"/>
          <w:sz w:val="24"/>
        </w:rPr>
        <w:t xml:space="preserve"> would prevent courts from resolving many possible disputes under the A-12 agreement. The Government asked petitioners to develop an aircraft the design, materials, and manufacturing process for which would be closely guarded military secrets. </w:t>
      </w:r>
      <w:r w:rsidR="00F86C29" w:rsidRPr="00A63DFF">
        <w:rPr>
          <w:rFonts w:ascii="Times New Roman" w:hAnsi="Times New Roman" w:cs="Times New Roman"/>
          <w:sz w:val="24"/>
        </w:rPr>
        <w:t xml:space="preserve">. </w:t>
      </w:r>
      <w:proofErr w:type="gramStart"/>
      <w:r w:rsidR="00F86C29" w:rsidRPr="00A63DFF">
        <w:rPr>
          <w:rFonts w:ascii="Times New Roman" w:hAnsi="Times New Roman" w:cs="Times New Roman"/>
          <w:sz w:val="24"/>
        </w:rPr>
        <w:t xml:space="preserve">. . </w:t>
      </w:r>
      <w:r w:rsidRPr="00A63DFF">
        <w:rPr>
          <w:rFonts w:ascii="Times New Roman" w:hAnsi="Times New Roman" w:cs="Times New Roman"/>
          <w:sz w:val="24"/>
        </w:rPr>
        <w:t>.</w:t>
      </w:r>
      <w:proofErr w:type="gramEnd"/>
      <w:r w:rsidRPr="00A63DFF">
        <w:rPr>
          <w:rFonts w:ascii="Times New Roman" w:hAnsi="Times New Roman" w:cs="Times New Roman"/>
          <w:sz w:val="24"/>
        </w:rPr>
        <w:t xml:space="preserve"> The contract itself was a classified document at one point. </w:t>
      </w:r>
      <w:r w:rsidR="00F86C29" w:rsidRPr="00A63DFF">
        <w:rPr>
          <w:rFonts w:ascii="Times New Roman" w:hAnsi="Times New Roman" w:cs="Times New Roman"/>
          <w:sz w:val="24"/>
        </w:rPr>
        <w:t xml:space="preserve">. </w:t>
      </w:r>
      <w:proofErr w:type="gramStart"/>
      <w:r w:rsidR="00F86C29" w:rsidRPr="00A63DFF">
        <w:rPr>
          <w:rFonts w:ascii="Times New Roman" w:hAnsi="Times New Roman" w:cs="Times New Roman"/>
          <w:sz w:val="24"/>
        </w:rPr>
        <w:t xml:space="preserve">. . </w:t>
      </w:r>
      <w:r w:rsidRPr="00A63DFF">
        <w:rPr>
          <w:rFonts w:ascii="Times New Roman" w:hAnsi="Times New Roman" w:cs="Times New Roman"/>
          <w:sz w:val="24"/>
        </w:rPr>
        <w:t>.</w:t>
      </w:r>
      <w:proofErr w:type="gramEnd"/>
      <w:r w:rsidRPr="00A63DFF">
        <w:rPr>
          <w:rFonts w:ascii="Times New Roman" w:hAnsi="Times New Roman" w:cs="Times New Roman"/>
          <w:sz w:val="24"/>
        </w:rPr>
        <w:t xml:space="preserve"> Both parties -- the Government no less than petitioners -- must have assumed the risk that </w:t>
      </w:r>
      <w:r w:rsidRPr="00A63DFF">
        <w:rPr>
          <w:rFonts w:ascii="Times New Roman" w:hAnsi="Times New Roman" w:cs="Times New Roman"/>
          <w:bCs/>
          <w:sz w:val="24"/>
        </w:rPr>
        <w:t>state secrets</w:t>
      </w:r>
      <w:r w:rsidRPr="00A63DFF">
        <w:rPr>
          <w:rFonts w:ascii="Times New Roman" w:hAnsi="Times New Roman" w:cs="Times New Roman"/>
          <w:sz w:val="24"/>
        </w:rPr>
        <w:t xml:space="preserve"> would prevent the adjudication of claims of inadequate perfor</w:t>
      </w:r>
      <w:r w:rsidR="00A63DFF">
        <w:rPr>
          <w:rFonts w:ascii="Times New Roman" w:hAnsi="Times New Roman" w:cs="Times New Roman"/>
          <w:sz w:val="24"/>
        </w:rPr>
        <w:t>mance.</w:t>
      </w:r>
    </w:p>
    <w:sectPr w:rsidR="00A63DFF" w:rsidRPr="00A63DFF">
      <w:headerReference w:type="default" r:id="rId7"/>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6B" w:rsidRDefault="00644D6B">
      <w:r>
        <w:separator/>
      </w:r>
    </w:p>
  </w:endnote>
  <w:endnote w:type="continuationSeparator" w:id="0">
    <w:p w:rsidR="00644D6B" w:rsidRDefault="0064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6B" w:rsidRDefault="00644D6B">
      <w:r>
        <w:separator/>
      </w:r>
    </w:p>
  </w:footnote>
  <w:footnote w:type="continuationSeparator" w:id="0">
    <w:p w:rsidR="00644D6B" w:rsidRDefault="00644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91" w:rsidRDefault="00375491">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29"/>
    <w:rsid w:val="00223CF8"/>
    <w:rsid w:val="00375491"/>
    <w:rsid w:val="00644D6B"/>
    <w:rsid w:val="00A63DFF"/>
    <w:rsid w:val="00DB6F73"/>
    <w:rsid w:val="00F8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C29"/>
    <w:pPr>
      <w:tabs>
        <w:tab w:val="center" w:pos="4680"/>
        <w:tab w:val="right" w:pos="9360"/>
      </w:tabs>
    </w:pPr>
  </w:style>
  <w:style w:type="character" w:customStyle="1" w:styleId="HeaderChar">
    <w:name w:val="Header Char"/>
    <w:basedOn w:val="DefaultParagraphFont"/>
    <w:link w:val="Header"/>
    <w:uiPriority w:val="99"/>
    <w:rsid w:val="00F86C29"/>
    <w:rPr>
      <w:rFonts w:ascii="Courier" w:hAnsi="Courier"/>
      <w:sz w:val="20"/>
      <w:szCs w:val="20"/>
    </w:rPr>
  </w:style>
  <w:style w:type="paragraph" w:styleId="Footer">
    <w:name w:val="footer"/>
    <w:basedOn w:val="Normal"/>
    <w:link w:val="FooterChar"/>
    <w:uiPriority w:val="99"/>
    <w:unhideWhenUsed/>
    <w:rsid w:val="00F86C29"/>
    <w:pPr>
      <w:tabs>
        <w:tab w:val="center" w:pos="4680"/>
        <w:tab w:val="right" w:pos="9360"/>
      </w:tabs>
    </w:pPr>
  </w:style>
  <w:style w:type="character" w:customStyle="1" w:styleId="FooterChar">
    <w:name w:val="Footer Char"/>
    <w:basedOn w:val="DefaultParagraphFont"/>
    <w:link w:val="Footer"/>
    <w:uiPriority w:val="99"/>
    <w:rsid w:val="00F86C29"/>
    <w:rPr>
      <w:rFonts w:ascii="Courier" w:hAnsi="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C29"/>
    <w:pPr>
      <w:tabs>
        <w:tab w:val="center" w:pos="4680"/>
        <w:tab w:val="right" w:pos="9360"/>
      </w:tabs>
    </w:pPr>
  </w:style>
  <w:style w:type="character" w:customStyle="1" w:styleId="HeaderChar">
    <w:name w:val="Header Char"/>
    <w:basedOn w:val="DefaultParagraphFont"/>
    <w:link w:val="Header"/>
    <w:uiPriority w:val="99"/>
    <w:rsid w:val="00F86C29"/>
    <w:rPr>
      <w:rFonts w:ascii="Courier" w:hAnsi="Courier"/>
      <w:sz w:val="20"/>
      <w:szCs w:val="20"/>
    </w:rPr>
  </w:style>
  <w:style w:type="paragraph" w:styleId="Footer">
    <w:name w:val="footer"/>
    <w:basedOn w:val="Normal"/>
    <w:link w:val="FooterChar"/>
    <w:uiPriority w:val="99"/>
    <w:unhideWhenUsed/>
    <w:rsid w:val="00F86C29"/>
    <w:pPr>
      <w:tabs>
        <w:tab w:val="center" w:pos="4680"/>
        <w:tab w:val="right" w:pos="9360"/>
      </w:tabs>
    </w:pPr>
  </w:style>
  <w:style w:type="character" w:customStyle="1" w:styleId="FooterChar">
    <w:name w:val="Footer Char"/>
    <w:basedOn w:val="DefaultParagraphFont"/>
    <w:link w:val="Footer"/>
    <w:uiPriority w:val="99"/>
    <w:rsid w:val="00F86C29"/>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pittman</dc:creator>
  <cp:keywords/>
  <dc:description/>
  <cp:lastModifiedBy>pittman</cp:lastModifiedBy>
  <cp:revision>3</cp:revision>
  <dcterms:created xsi:type="dcterms:W3CDTF">2011-09-28T14:24:00Z</dcterms:created>
  <dcterms:modified xsi:type="dcterms:W3CDTF">2012-02-21T15:26:00Z</dcterms:modified>
</cp:coreProperties>
</file>